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39" w:rsidRDefault="001E1B56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ERWC </w:t>
      </w:r>
      <w:r>
        <w:rPr>
          <w:b/>
          <w:sz w:val="36"/>
          <w:szCs w:val="36"/>
        </w:rPr>
        <w:t>Senior Portfolio Exit Project (Part I)</w:t>
      </w:r>
    </w:p>
    <w:tbl>
      <w:tblPr>
        <w:tblStyle w:val="a"/>
        <w:tblW w:w="147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  <w:gridCol w:w="4410"/>
      </w:tblGrid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Homepage /Resume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Writing W11-12.4</w:t>
            </w:r>
          </w:p>
          <w:p w:rsidR="00C75339" w:rsidRDefault="001E1B56">
            <w:r>
              <w:t>Produce clear and coherent writing in which the development, organization, and style are appropriate to task, purpose, and audience.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>
            <w:pPr>
              <w:jc w:val="center"/>
              <w:rPr>
                <w:b/>
              </w:rPr>
            </w:pP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Scholarship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Writing W11-12.5</w:t>
            </w:r>
          </w:p>
          <w:p w:rsidR="00C75339" w:rsidRDefault="001E1B56">
            <w:r>
              <w:t>Develop and strengthen writing as needed by planning, revising, editing, rewriting, or trying a new approach, focusing on addressing what is most significant fo</w:t>
            </w:r>
            <w:r>
              <w:t>r a specific purpose and audience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  <w:rPr>
                <w:b/>
              </w:rPr>
            </w:pPr>
            <w:r>
              <w:t>6       5       4         3         2         1         0</w:t>
            </w:r>
          </w:p>
          <w:p w:rsidR="00C75339" w:rsidRDefault="00C75339">
            <w:pPr>
              <w:jc w:val="center"/>
            </w:pP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Writing W11-12.4</w:t>
            </w:r>
          </w:p>
          <w:p w:rsidR="00C75339" w:rsidRDefault="001E1B56">
            <w:r>
              <w:t>Produce clear and coherent writing in which the development, organization, and style are appropriate to task, purpose, and audience.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/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Integrity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Writing W11.-12.2d</w:t>
            </w:r>
          </w:p>
          <w:p w:rsidR="00C75339" w:rsidRDefault="001E1B56">
            <w:r>
              <w:t>Use precise language, domain-specific vocabulary, and techniques such as metaphor, simile, and analogy to manage the complexity of the topic.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  <w:rPr>
                <w:b/>
              </w:rPr>
            </w:pPr>
            <w:r>
              <w:t>6       5       4</w:t>
            </w:r>
            <w:r>
              <w:t xml:space="preserve">         3         2         1         0</w:t>
            </w:r>
          </w:p>
          <w:p w:rsidR="00C75339" w:rsidRDefault="00C75339">
            <w:pPr>
              <w:jc w:val="center"/>
            </w:pP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Writing W11-12.3</w:t>
            </w:r>
          </w:p>
          <w:p w:rsidR="00C75339" w:rsidRDefault="001E1B56">
            <w:r>
              <w:t xml:space="preserve">Write narratives to develop real or imagined experiences or events using effective technique, well-chosen details, and well-structured event sequences. 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/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bookmarkStart w:id="2" w:name="_gjdgxs" w:colFirst="0" w:colLast="0"/>
            <w:bookmarkEnd w:id="2"/>
            <w:r>
              <w:rPr>
                <w:b/>
              </w:rPr>
              <w:t xml:space="preserve">Score 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 xml:space="preserve">Writing W11-12.1 </w:t>
            </w:r>
          </w:p>
          <w:p w:rsidR="00C75339" w:rsidRDefault="001E1B56">
            <w:r>
              <w:t xml:space="preserve">Write arguments to support claims in an analysis of substantive topics or texts, using valid reasoning and relevant and sufficient evidence. 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 xml:space="preserve">6       5       </w:t>
            </w:r>
            <w:r>
              <w:t>4         3         2         1         0</w:t>
            </w:r>
          </w:p>
          <w:p w:rsidR="00C75339" w:rsidRDefault="00C75339"/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Language &amp; Conventions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Language L11-12.1, 2</w:t>
            </w:r>
          </w:p>
          <w:p w:rsidR="00C75339" w:rsidRDefault="001E1B56">
            <w:r>
              <w:t xml:space="preserve">Demonstrate command of the conventions of standard English capitalization, punctuation, and spelling when writing. 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/>
        </w:tc>
      </w:tr>
      <w:tr w:rsidR="00C75339">
        <w:trPr>
          <w:trHeight w:val="220"/>
        </w:trPr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E-Portfolio Layout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r>
              <w:rPr>
                <w:b/>
              </w:rPr>
              <w:t>Writing W.11-12.2A</w:t>
            </w:r>
            <w:r>
              <w:rPr>
                <w:rFonts w:ascii="Lato Light" w:eastAsia="Lato Light" w:hAnsi="Lato Light" w:cs="Lato Light"/>
              </w:rPr>
              <w:br/>
            </w:r>
            <w:r>
              <w:t>Introduce a topic; organize complex ideas, concepts, and information so that each new element builds on that which precedes it to create a unified who</w:t>
            </w:r>
            <w:r>
              <w:t>le; include formatting (e.g., headings), graphics (e.g., figures, tables), and multimedia when useful to aiding comprehension.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/>
          <w:p w:rsidR="00C75339" w:rsidRDefault="00C75339">
            <w:pPr>
              <w:jc w:val="center"/>
            </w:pPr>
          </w:p>
        </w:tc>
      </w:tr>
    </w:tbl>
    <w:p w:rsidR="00C75339" w:rsidRDefault="00C75339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</w:p>
    <w:p w:rsidR="00C75339" w:rsidRDefault="00C75339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</w:p>
    <w:p w:rsidR="00C75339" w:rsidRDefault="00C75339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</w:p>
    <w:p w:rsidR="00C75339" w:rsidRDefault="001E1B56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Senior Portfolio Exit Project (Part II)</w:t>
      </w:r>
    </w:p>
    <w:p w:rsidR="00C75339" w:rsidRDefault="00C75339">
      <w:pPr>
        <w:tabs>
          <w:tab w:val="center" w:pos="4680"/>
          <w:tab w:val="right" w:pos="9360"/>
        </w:tabs>
        <w:ind w:firstLine="180"/>
        <w:jc w:val="center"/>
        <w:rPr>
          <w:b/>
          <w:sz w:val="36"/>
          <w:szCs w:val="36"/>
        </w:rPr>
      </w:pPr>
    </w:p>
    <w:tbl>
      <w:tblPr>
        <w:tblStyle w:val="a0"/>
        <w:tblW w:w="147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  <w:gridCol w:w="4410"/>
      </w:tblGrid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tabs>
                <w:tab w:val="left" w:pos="2847"/>
                <w:tab w:val="center" w:pos="3357"/>
              </w:tabs>
              <w:jc w:val="center"/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410" w:type="dxa"/>
          </w:tcPr>
          <w:p w:rsidR="00C75339" w:rsidRDefault="001E1B56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SL11-12.4</w:t>
            </w:r>
          </w:p>
          <w:p w:rsidR="00C75339" w:rsidRDefault="001E1B56">
            <w:r>
              <w:t>Present information, findings, and supporting evidence, conveying a clear and distinct perspective, such that listeners can follow the line of reasoning, alternative or opposing perspectives are addressed, and the organization, development, subst</w:t>
            </w:r>
            <w:r>
              <w:t>ance, and style are appropriate to purpose, audience, and a range of formal and informal tasks.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  <w:p w:rsidR="00C75339" w:rsidRDefault="00C75339">
            <w:pPr>
              <w:jc w:val="center"/>
              <w:rPr>
                <w:b/>
              </w:rPr>
            </w:pPr>
          </w:p>
          <w:p w:rsidR="00C75339" w:rsidRDefault="00C75339">
            <w:pPr>
              <w:jc w:val="center"/>
            </w:pP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SL11.12.5</w:t>
            </w:r>
          </w:p>
          <w:p w:rsidR="00C75339" w:rsidRDefault="001E1B56">
            <w:r>
              <w:t>Make strategic use of digital media (e.g., textual, graphical, audio, visual, and intera</w:t>
            </w:r>
            <w:r>
              <w:t xml:space="preserve">ctive elements) in </w:t>
            </w:r>
          </w:p>
          <w:p w:rsidR="00C75339" w:rsidRDefault="001E1B56">
            <w:r>
              <w:t xml:space="preserve">presentations to enhance understanding of findings, reasoning, and evidence and to add interest. </w:t>
            </w:r>
          </w:p>
          <w:p w:rsidR="00C75339" w:rsidRDefault="00C75339"/>
          <w:p w:rsidR="00C75339" w:rsidRDefault="001E1B56">
            <w:r>
              <w:t>*Video clips must include the following: visuals, voice, text, music, and live video (action).  Live video (action) must be included in a</w:t>
            </w:r>
            <w:r>
              <w:t>t least one of your three video clips.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>6       5       4         3         2         1         0</w:t>
            </w:r>
          </w:p>
        </w:tc>
      </w:tr>
      <w:tr w:rsidR="00C75339">
        <w:tc>
          <w:tcPr>
            <w:tcW w:w="10350" w:type="dxa"/>
            <w:tcBorders>
              <w:left w:val="single" w:sz="4" w:space="0" w:color="000000"/>
            </w:tcBorders>
          </w:tcPr>
          <w:p w:rsidR="00C75339" w:rsidRDefault="001E1B56">
            <w:pPr>
              <w:rPr>
                <w:b/>
              </w:rPr>
            </w:pPr>
            <w:r>
              <w:rPr>
                <w:b/>
              </w:rPr>
              <w:t>SL11.12-6</w:t>
            </w:r>
          </w:p>
          <w:p w:rsidR="00C75339" w:rsidRDefault="001E1B56">
            <w:r>
              <w:t xml:space="preserve">Adapt speech to a variety of contexts and tasks, demonstrating a command of formal English when indicated or appropriate. </w:t>
            </w:r>
          </w:p>
        </w:tc>
        <w:tc>
          <w:tcPr>
            <w:tcW w:w="4410" w:type="dxa"/>
          </w:tcPr>
          <w:p w:rsidR="00C75339" w:rsidRDefault="00C75339">
            <w:pPr>
              <w:jc w:val="center"/>
            </w:pPr>
          </w:p>
          <w:p w:rsidR="00C75339" w:rsidRDefault="001E1B56">
            <w:pPr>
              <w:jc w:val="center"/>
            </w:pPr>
            <w:r>
              <w:t xml:space="preserve">6       5       4      </w:t>
            </w:r>
            <w:r>
              <w:t xml:space="preserve">   3         2         1         0</w:t>
            </w:r>
          </w:p>
          <w:p w:rsidR="00C75339" w:rsidRDefault="00C75339"/>
        </w:tc>
      </w:tr>
    </w:tbl>
    <w:p w:rsidR="00C75339" w:rsidRDefault="00C75339"/>
    <w:sectPr w:rsidR="00C75339">
      <w:headerReference w:type="default" r:id="rId7"/>
      <w:pgSz w:w="15840" w:h="12240"/>
      <w:pgMar w:top="432" w:right="1008" w:bottom="432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B56">
      <w:r>
        <w:separator/>
      </w:r>
    </w:p>
  </w:endnote>
  <w:endnote w:type="continuationSeparator" w:id="0">
    <w:p w:rsidR="00000000" w:rsidRDefault="001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B56">
      <w:r>
        <w:separator/>
      </w:r>
    </w:p>
  </w:footnote>
  <w:footnote w:type="continuationSeparator" w:id="0">
    <w:p w:rsidR="00000000" w:rsidRDefault="001E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9" w:rsidRDefault="00C75339">
    <w:pPr>
      <w:tabs>
        <w:tab w:val="center" w:pos="4680"/>
        <w:tab w:val="right" w:pos="9360"/>
      </w:tabs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339"/>
    <w:rsid w:val="001E1B56"/>
    <w:rsid w:val="00C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Scharf</dc:creator>
  <cp:lastModifiedBy>Jennifer Scharf</cp:lastModifiedBy>
  <cp:revision>2</cp:revision>
  <dcterms:created xsi:type="dcterms:W3CDTF">2018-02-02T22:24:00Z</dcterms:created>
  <dcterms:modified xsi:type="dcterms:W3CDTF">2018-02-02T22:24:00Z</dcterms:modified>
</cp:coreProperties>
</file>